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1A" w:rsidRPr="000E7BC0" w:rsidRDefault="0085661A" w:rsidP="0085661A">
      <w:pPr>
        <w:pStyle w:val="Heading1"/>
        <w:rPr>
          <w:color w:val="auto"/>
        </w:rPr>
      </w:pPr>
      <w:r w:rsidRPr="000E7BC0">
        <w:rPr>
          <w:color w:val="auto"/>
        </w:rPr>
        <w:t xml:space="preserve">Education </w:t>
      </w:r>
      <w:r>
        <w:rPr>
          <w:color w:val="auto"/>
        </w:rPr>
        <w:t xml:space="preserve">Sessional </w:t>
      </w:r>
      <w:r w:rsidRPr="000E7BC0">
        <w:rPr>
          <w:color w:val="auto"/>
        </w:rPr>
        <w:t>G</w:t>
      </w:r>
      <w:r>
        <w:rPr>
          <w:color w:val="auto"/>
        </w:rPr>
        <w:t>uide Position Description</w:t>
      </w:r>
      <w:r>
        <w:rPr>
          <w:color w:val="auto"/>
        </w:rPr>
        <w:tab/>
      </w:r>
      <w:r>
        <w:rPr>
          <w:color w:val="auto"/>
        </w:rPr>
        <w:tab/>
      </w:r>
    </w:p>
    <w:p w:rsidR="0085661A" w:rsidRDefault="0085661A" w:rsidP="0085661A"/>
    <w:p w:rsidR="0085661A" w:rsidRDefault="0085661A" w:rsidP="0085661A"/>
    <w:p w:rsidR="0085661A" w:rsidRDefault="0085661A" w:rsidP="0085661A"/>
    <w:p w:rsidR="0085661A" w:rsidRPr="000E7BC0" w:rsidRDefault="0085661A" w:rsidP="0085661A">
      <w:pPr>
        <w:pStyle w:val="Heading2"/>
        <w:rPr>
          <w:color w:val="auto"/>
        </w:rPr>
      </w:pPr>
      <w:r w:rsidRPr="000E7BC0">
        <w:rPr>
          <w:color w:val="auto"/>
        </w:rPr>
        <w:t>Position Title</w:t>
      </w:r>
    </w:p>
    <w:p w:rsidR="0085661A" w:rsidRDefault="0085661A" w:rsidP="0085661A">
      <w:r>
        <w:t>Old Treasury Building Sessional Education Guide</w:t>
      </w:r>
    </w:p>
    <w:p w:rsidR="0085661A" w:rsidRPr="000E7BC0" w:rsidRDefault="0085661A" w:rsidP="0085661A">
      <w:pPr>
        <w:pStyle w:val="Heading2"/>
        <w:rPr>
          <w:color w:val="auto"/>
        </w:rPr>
      </w:pPr>
      <w:r w:rsidRPr="000E7BC0">
        <w:rPr>
          <w:color w:val="auto"/>
        </w:rPr>
        <w:t>Introduction</w:t>
      </w:r>
    </w:p>
    <w:p w:rsidR="0085661A" w:rsidRDefault="0085661A" w:rsidP="0085661A">
      <w:r>
        <w:t>The Old Treasury Building is regarded as one of the finest nineteenth century buildings in Australia. The Building occupies a unique position in the history of Melbourne. It is located at 20 Spring Street at the top of Collins Street. The OTB General Manager has responsibility for the overall management of the site, staff and volunteers.</w:t>
      </w:r>
    </w:p>
    <w:p w:rsidR="0085661A" w:rsidRPr="000E7BC0" w:rsidRDefault="0085661A" w:rsidP="0085661A">
      <w:pPr>
        <w:pStyle w:val="Heading2"/>
        <w:rPr>
          <w:color w:val="auto"/>
        </w:rPr>
      </w:pPr>
      <w:r w:rsidRPr="000E7BC0">
        <w:rPr>
          <w:color w:val="auto"/>
        </w:rPr>
        <w:t>Purpose</w:t>
      </w:r>
    </w:p>
    <w:p w:rsidR="0085661A" w:rsidRDefault="0085661A" w:rsidP="0085661A">
      <w:r>
        <w:t>Museum education guides aim to deliver high quality and dynamic programs of learning and participation. They ensure that the museum’s exhibits act as a learning resource for all ages.</w:t>
      </w:r>
    </w:p>
    <w:p w:rsidR="0085661A" w:rsidRDefault="0085661A" w:rsidP="0085661A">
      <w:r>
        <w:t xml:space="preserve">Museum education guides develop and deliver the museum’s learning program to primary and secondary schools, based on the curriculum. They may also work with tertiary students and adult groups. </w:t>
      </w:r>
    </w:p>
    <w:p w:rsidR="0085661A" w:rsidRPr="000E7BC0" w:rsidRDefault="0085661A" w:rsidP="0085661A">
      <w:pPr>
        <w:pStyle w:val="Heading2"/>
        <w:rPr>
          <w:color w:val="auto"/>
        </w:rPr>
      </w:pPr>
      <w:r w:rsidRPr="000E7BC0">
        <w:rPr>
          <w:color w:val="auto"/>
        </w:rPr>
        <w:t>Responsibilities and Duties</w:t>
      </w:r>
    </w:p>
    <w:p w:rsidR="0085661A" w:rsidRDefault="0085661A" w:rsidP="0085661A">
      <w:pPr>
        <w:spacing w:after="120"/>
      </w:pPr>
      <w:r>
        <w:t>Become familiar with the history of the OTB, JJ Clark and exhibitions</w:t>
      </w:r>
    </w:p>
    <w:p w:rsidR="0085661A" w:rsidRDefault="0085661A" w:rsidP="0085661A">
      <w:pPr>
        <w:spacing w:after="120"/>
      </w:pPr>
      <w:r>
        <w:t>Become familiar with OTB and PROV websites and printed resource material</w:t>
      </w:r>
    </w:p>
    <w:p w:rsidR="0085661A" w:rsidRDefault="0085661A" w:rsidP="0085661A">
      <w:pPr>
        <w:spacing w:after="120"/>
      </w:pPr>
      <w:r>
        <w:t>Create a welcome environment for visiting groups, conducive to learning, through quality customer service standards</w:t>
      </w:r>
    </w:p>
    <w:p w:rsidR="0085661A" w:rsidRDefault="0085661A" w:rsidP="0085661A">
      <w:pPr>
        <w:spacing w:after="120"/>
      </w:pPr>
      <w:r>
        <w:t>Develop and deliver programs that link exhibits with relevant curricula</w:t>
      </w:r>
    </w:p>
    <w:p w:rsidR="0085661A" w:rsidRDefault="0085661A" w:rsidP="0085661A">
      <w:pPr>
        <w:spacing w:after="120"/>
      </w:pPr>
      <w:r>
        <w:t>Participate in professional development opportunities and other training</w:t>
      </w:r>
    </w:p>
    <w:p w:rsidR="0085661A" w:rsidRDefault="0085661A" w:rsidP="0085661A">
      <w:pPr>
        <w:pStyle w:val="Heading2"/>
        <w:rPr>
          <w:color w:val="auto"/>
        </w:rPr>
      </w:pPr>
      <w:r w:rsidRPr="000E7BC0">
        <w:rPr>
          <w:color w:val="auto"/>
        </w:rPr>
        <w:t>Reports to</w:t>
      </w:r>
    </w:p>
    <w:p w:rsidR="0085661A" w:rsidRDefault="0085661A" w:rsidP="0085661A">
      <w:pPr>
        <w:spacing w:after="120"/>
      </w:pPr>
      <w:r>
        <w:t>Public Programs</w:t>
      </w:r>
      <w:r w:rsidRPr="00885CE6">
        <w:t xml:space="preserve"> </w:t>
      </w:r>
      <w:r w:rsidRPr="001D5BD6">
        <w:t>Manager – for educational matters</w:t>
      </w:r>
      <w:r>
        <w:tab/>
      </w:r>
    </w:p>
    <w:p w:rsidR="0085661A" w:rsidRPr="001D5BD6" w:rsidRDefault="0085661A" w:rsidP="0085661A">
      <w:pPr>
        <w:spacing w:after="120"/>
      </w:pPr>
      <w:r>
        <w:t>Operations Manager - for administrative purposes</w:t>
      </w:r>
    </w:p>
    <w:p w:rsidR="0085661A" w:rsidRPr="000E7BC0" w:rsidRDefault="0085661A" w:rsidP="0085661A">
      <w:pPr>
        <w:pStyle w:val="Heading2"/>
        <w:rPr>
          <w:color w:val="auto"/>
        </w:rPr>
      </w:pPr>
      <w:r>
        <w:rPr>
          <w:color w:val="auto"/>
        </w:rPr>
        <w:t>Terms of Employment</w:t>
      </w:r>
    </w:p>
    <w:p w:rsidR="0085661A" w:rsidRDefault="0085661A" w:rsidP="0085661A">
      <w:pPr>
        <w:spacing w:after="0"/>
      </w:pPr>
      <w:r>
        <w:t>12 month contract</w:t>
      </w:r>
    </w:p>
    <w:p w:rsidR="0085661A" w:rsidRDefault="0085661A" w:rsidP="0085661A">
      <w:pPr>
        <w:spacing w:after="0"/>
      </w:pPr>
      <w:r>
        <w:t>Casual hourly rate $45 plus superannuation when applicable</w:t>
      </w:r>
    </w:p>
    <w:p w:rsidR="0085661A" w:rsidRDefault="0085661A" w:rsidP="0085661A">
      <w:pPr>
        <w:spacing w:after="0"/>
      </w:pPr>
      <w:r>
        <w:t>Minimum engagement period of 1 hour</w:t>
      </w:r>
    </w:p>
    <w:p w:rsidR="0085661A" w:rsidRPr="000E7BC0" w:rsidRDefault="0085661A" w:rsidP="0085661A">
      <w:pPr>
        <w:pStyle w:val="Heading2"/>
        <w:rPr>
          <w:color w:val="auto"/>
        </w:rPr>
      </w:pPr>
      <w:r w:rsidRPr="000E7BC0">
        <w:rPr>
          <w:color w:val="auto"/>
        </w:rPr>
        <w:t>Time Commitment</w:t>
      </w:r>
    </w:p>
    <w:p w:rsidR="0085661A" w:rsidRDefault="0085661A" w:rsidP="0085661A">
      <w:r>
        <w:t xml:space="preserve">On a sessional basis as required </w:t>
      </w:r>
    </w:p>
    <w:p w:rsidR="0085661A" w:rsidRPr="00505DB7" w:rsidRDefault="0085661A" w:rsidP="0085661A">
      <w:pPr>
        <w:pStyle w:val="Heading2"/>
        <w:rPr>
          <w:color w:val="auto"/>
        </w:rPr>
      </w:pPr>
      <w:r w:rsidRPr="00505DB7">
        <w:rPr>
          <w:color w:val="auto"/>
        </w:rPr>
        <w:lastRenderedPageBreak/>
        <w:t>Training</w:t>
      </w:r>
    </w:p>
    <w:p w:rsidR="0085661A" w:rsidRDefault="0085661A" w:rsidP="0085661A">
      <w:pPr>
        <w:spacing w:after="0"/>
      </w:pPr>
      <w:r>
        <w:t>On –site training for this position</w:t>
      </w:r>
      <w:bookmarkStart w:id="0" w:name="_GoBack"/>
      <w:bookmarkEnd w:id="0"/>
      <w:r>
        <w:t xml:space="preserve"> will be provided:</w:t>
      </w:r>
    </w:p>
    <w:p w:rsidR="0085661A" w:rsidRDefault="0085661A" w:rsidP="0085661A">
      <w:pPr>
        <w:spacing w:after="120"/>
      </w:pPr>
      <w:r>
        <w:tab/>
        <w:t>Briefings about the building and its exhibits</w:t>
      </w:r>
    </w:p>
    <w:p w:rsidR="0085661A" w:rsidRDefault="0085661A" w:rsidP="0085661A">
      <w:pPr>
        <w:spacing w:after="120"/>
      </w:pPr>
      <w:r>
        <w:tab/>
        <w:t>Notes about the building and its exhibits</w:t>
      </w:r>
    </w:p>
    <w:p w:rsidR="0085661A" w:rsidRDefault="0085661A" w:rsidP="0085661A">
      <w:pPr>
        <w:spacing w:after="120"/>
      </w:pPr>
      <w:r>
        <w:tab/>
        <w:t xml:space="preserve">Presentations related to curricula. </w:t>
      </w:r>
    </w:p>
    <w:p w:rsidR="0085661A" w:rsidRDefault="0085661A" w:rsidP="0085661A"/>
    <w:p w:rsidR="0085661A" w:rsidRPr="000E7BC0" w:rsidRDefault="0085661A" w:rsidP="0085661A">
      <w:pPr>
        <w:pStyle w:val="Heading2"/>
        <w:rPr>
          <w:color w:val="auto"/>
        </w:rPr>
      </w:pPr>
      <w:r w:rsidRPr="000E7BC0">
        <w:rPr>
          <w:color w:val="auto"/>
        </w:rPr>
        <w:t>Qualifications</w:t>
      </w:r>
    </w:p>
    <w:p w:rsidR="0085661A" w:rsidRPr="00766FDA" w:rsidRDefault="0085661A" w:rsidP="0085661A">
      <w:pPr>
        <w:spacing w:after="120"/>
      </w:pPr>
      <w:r>
        <w:t>Teaching qualifications:</w:t>
      </w:r>
    </w:p>
    <w:p w:rsidR="0085661A" w:rsidRDefault="0085661A" w:rsidP="0085661A">
      <w:pPr>
        <w:spacing w:after="120"/>
      </w:pPr>
      <w:r>
        <w:t>A teaching qualification recognised for registration as a teacher in Victoria</w:t>
      </w:r>
    </w:p>
    <w:p w:rsidR="0085661A" w:rsidRDefault="0085661A" w:rsidP="0085661A">
      <w:pPr>
        <w:spacing w:after="120"/>
      </w:pPr>
      <w:r>
        <w:t>Preference will be given to teachers with a history teaching qualification.</w:t>
      </w:r>
    </w:p>
    <w:p w:rsidR="0085661A" w:rsidRDefault="0085661A" w:rsidP="0085661A">
      <w:pPr>
        <w:spacing w:after="120"/>
      </w:pPr>
      <w:r w:rsidRPr="004E62BC">
        <w:t>Relevant teaching experience</w:t>
      </w:r>
      <w:r>
        <w:t xml:space="preserve">: primary, secondary, </w:t>
      </w:r>
      <w:proofErr w:type="gramStart"/>
      <w:r>
        <w:t>other</w:t>
      </w:r>
      <w:proofErr w:type="gramEnd"/>
    </w:p>
    <w:p w:rsidR="0085661A" w:rsidRDefault="0085661A" w:rsidP="0085661A">
      <w:pPr>
        <w:spacing w:after="120"/>
      </w:pPr>
    </w:p>
    <w:p w:rsidR="0085661A" w:rsidRPr="000E7BC0" w:rsidRDefault="0085661A" w:rsidP="0085661A">
      <w:pPr>
        <w:pStyle w:val="Heading2"/>
        <w:rPr>
          <w:color w:val="auto"/>
        </w:rPr>
      </w:pPr>
      <w:r w:rsidRPr="000E7BC0">
        <w:rPr>
          <w:color w:val="auto"/>
        </w:rPr>
        <w:t>Skills</w:t>
      </w:r>
    </w:p>
    <w:p w:rsidR="0085661A" w:rsidRDefault="0085661A" w:rsidP="0085661A">
      <w:pPr>
        <w:spacing w:after="120"/>
      </w:pPr>
      <w:r>
        <w:t xml:space="preserve">Strong interest in and knowledge </w:t>
      </w:r>
    </w:p>
    <w:p w:rsidR="0085661A" w:rsidRPr="00250E83" w:rsidRDefault="0085661A" w:rsidP="0085661A">
      <w:pPr>
        <w:spacing w:after="120"/>
      </w:pPr>
      <w:r>
        <w:t>Ability to work well as part of a team</w:t>
      </w:r>
    </w:p>
    <w:p w:rsidR="0085661A" w:rsidRPr="000E7BC0" w:rsidRDefault="0085661A" w:rsidP="0085661A">
      <w:pPr>
        <w:pStyle w:val="Heading2"/>
        <w:rPr>
          <w:color w:val="auto"/>
        </w:rPr>
      </w:pPr>
      <w:r w:rsidRPr="000E7BC0">
        <w:rPr>
          <w:color w:val="auto"/>
        </w:rPr>
        <w:t>Dress Code</w:t>
      </w:r>
    </w:p>
    <w:p w:rsidR="0085661A" w:rsidRDefault="0085661A" w:rsidP="0085661A">
      <w:r>
        <w:t>Business casual</w:t>
      </w:r>
    </w:p>
    <w:p w:rsidR="0085661A" w:rsidRPr="000E7BC0" w:rsidRDefault="0085661A" w:rsidP="0085661A">
      <w:pPr>
        <w:pStyle w:val="Heading2"/>
        <w:rPr>
          <w:color w:val="auto"/>
        </w:rPr>
      </w:pPr>
      <w:r w:rsidRPr="000E7BC0">
        <w:rPr>
          <w:color w:val="auto"/>
        </w:rPr>
        <w:t>Occupational Health and Safety</w:t>
      </w:r>
    </w:p>
    <w:p w:rsidR="0085661A" w:rsidRDefault="0085661A" w:rsidP="0085661A">
      <w:r>
        <w:t>Adhere to the relevant OTB policies and procedures.</w:t>
      </w:r>
    </w:p>
    <w:p w:rsidR="0085661A" w:rsidRPr="000E7BC0" w:rsidRDefault="0085661A" w:rsidP="0085661A">
      <w:pPr>
        <w:pStyle w:val="Heading2"/>
        <w:rPr>
          <w:color w:val="auto"/>
        </w:rPr>
      </w:pPr>
      <w:r>
        <w:rPr>
          <w:color w:val="auto"/>
        </w:rPr>
        <w:t>Clearance for w</w:t>
      </w:r>
      <w:r w:rsidRPr="000E7BC0">
        <w:rPr>
          <w:color w:val="auto"/>
        </w:rPr>
        <w:t xml:space="preserve">orking with </w:t>
      </w:r>
      <w:r>
        <w:rPr>
          <w:color w:val="auto"/>
        </w:rPr>
        <w:t>c</w:t>
      </w:r>
      <w:r w:rsidRPr="000E7BC0">
        <w:rPr>
          <w:color w:val="auto"/>
        </w:rPr>
        <w:t xml:space="preserve">hildren </w:t>
      </w:r>
    </w:p>
    <w:p w:rsidR="0085661A" w:rsidRDefault="0085661A" w:rsidP="0085661A">
      <w:pPr>
        <w:pStyle w:val="ListParagraph"/>
        <w:numPr>
          <w:ilvl w:val="0"/>
          <w:numId w:val="1"/>
        </w:numPr>
      </w:pPr>
      <w:r>
        <w:t>Current VIT registration</w:t>
      </w:r>
    </w:p>
    <w:p w:rsidR="0085661A" w:rsidRDefault="0085661A" w:rsidP="0085661A">
      <w:pPr>
        <w:pStyle w:val="ListParagraph"/>
      </w:pPr>
      <w:r>
        <w:t>OR</w:t>
      </w:r>
    </w:p>
    <w:p w:rsidR="0085661A" w:rsidRPr="00D00DE2" w:rsidRDefault="0085661A" w:rsidP="0085661A">
      <w:pPr>
        <w:pStyle w:val="ListParagraph"/>
        <w:numPr>
          <w:ilvl w:val="0"/>
          <w:numId w:val="1"/>
        </w:numPr>
      </w:pPr>
      <w:r>
        <w:t xml:space="preserve"> Working with Children Card and current Police Check</w:t>
      </w:r>
    </w:p>
    <w:p w:rsidR="0000592C" w:rsidRDefault="0000592C"/>
    <w:sectPr w:rsidR="0000592C" w:rsidSect="00934B3E">
      <w:headerReference w:type="default" r:id="rId7"/>
      <w:footerReference w:type="default" r:id="rId8"/>
      <w:pgSz w:w="11906" w:h="16838"/>
      <w:pgMar w:top="1701"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3E" w:rsidRDefault="00934B3E" w:rsidP="00934B3E">
      <w:pPr>
        <w:spacing w:after="0" w:line="240" w:lineRule="auto"/>
      </w:pPr>
      <w:r>
        <w:separator/>
      </w:r>
    </w:p>
  </w:endnote>
  <w:endnote w:type="continuationSeparator" w:id="0">
    <w:p w:rsidR="00934B3E" w:rsidRDefault="00934B3E" w:rsidP="0093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3E" w:rsidRPr="00934B3E" w:rsidRDefault="00934B3E" w:rsidP="00934B3E">
    <w:pPr>
      <w:pStyle w:val="BasicParagraph"/>
      <w:jc w:val="distribute"/>
      <w:rPr>
        <w:rFonts w:ascii="Calibri" w:hAnsi="Calibri" w:cs="Calibri"/>
        <w:sz w:val="18"/>
        <w:szCs w:val="20"/>
      </w:rPr>
    </w:pPr>
    <w:r w:rsidRPr="00934B3E">
      <w:rPr>
        <w:rFonts w:ascii="Calibri" w:hAnsi="Calibri" w:cs="Calibri"/>
        <w:sz w:val="18"/>
        <w:szCs w:val="20"/>
      </w:rPr>
      <w:t xml:space="preserve">20 Spring Street, Melbourne VIC 3000 Australia </w:t>
    </w:r>
    <w:r w:rsidRPr="00934B3E">
      <w:rPr>
        <w:rFonts w:ascii="Calibri" w:hAnsi="Calibri" w:cs="Calibri"/>
        <w:b/>
        <w:bCs/>
        <w:color w:val="7B3840"/>
        <w:sz w:val="18"/>
        <w:szCs w:val="20"/>
      </w:rPr>
      <w:t>|</w:t>
    </w:r>
    <w:r w:rsidRPr="00934B3E">
      <w:rPr>
        <w:rFonts w:ascii="Calibri" w:hAnsi="Calibri" w:cs="Calibri"/>
        <w:sz w:val="18"/>
        <w:szCs w:val="20"/>
      </w:rPr>
      <w:t xml:space="preserve"> </w:t>
    </w:r>
    <w:proofErr w:type="spellStart"/>
    <w:r w:rsidRPr="00934B3E">
      <w:rPr>
        <w:rFonts w:ascii="Calibri" w:hAnsi="Calibri" w:cs="Calibri"/>
        <w:sz w:val="18"/>
        <w:szCs w:val="20"/>
      </w:rPr>
      <w:t>Ph</w:t>
    </w:r>
    <w:proofErr w:type="spellEnd"/>
    <w:r w:rsidRPr="00934B3E">
      <w:rPr>
        <w:rFonts w:ascii="Calibri" w:hAnsi="Calibri" w:cs="Calibri"/>
        <w:sz w:val="18"/>
        <w:szCs w:val="20"/>
      </w:rPr>
      <w:t xml:space="preserve"> (03) 9651 2233 </w:t>
    </w:r>
    <w:r w:rsidRPr="00934B3E">
      <w:rPr>
        <w:rFonts w:ascii="Calibri" w:hAnsi="Calibri" w:cs="Calibri"/>
        <w:b/>
        <w:bCs/>
        <w:color w:val="7B3840"/>
        <w:sz w:val="18"/>
        <w:szCs w:val="20"/>
      </w:rPr>
      <w:t>|</w:t>
    </w:r>
    <w:r w:rsidRPr="00934B3E">
      <w:rPr>
        <w:rFonts w:ascii="Calibri" w:hAnsi="Calibri" w:cs="Calibri"/>
        <w:sz w:val="18"/>
        <w:szCs w:val="20"/>
      </w:rPr>
      <w:t xml:space="preserve"> Fax (03) 9651 6508 </w:t>
    </w:r>
    <w:r w:rsidRPr="00934B3E">
      <w:rPr>
        <w:rFonts w:ascii="Calibri" w:hAnsi="Calibri" w:cs="Calibri"/>
        <w:b/>
        <w:bCs/>
        <w:color w:val="7B3840"/>
        <w:sz w:val="18"/>
        <w:szCs w:val="20"/>
      </w:rPr>
      <w:t>|</w:t>
    </w:r>
    <w:r w:rsidRPr="00934B3E">
      <w:rPr>
        <w:rFonts w:ascii="Calibri" w:hAnsi="Calibri" w:cs="Calibri"/>
        <w:color w:val="7B3840"/>
        <w:sz w:val="18"/>
        <w:szCs w:val="20"/>
      </w:rPr>
      <w:t xml:space="preserve"> </w:t>
    </w:r>
    <w:r w:rsidRPr="00934B3E">
      <w:rPr>
        <w:rFonts w:ascii="Calibri" w:hAnsi="Calibri" w:cs="Calibri"/>
        <w:sz w:val="18"/>
        <w:szCs w:val="20"/>
      </w:rPr>
      <w:t xml:space="preserve">info@otb.org.au </w:t>
    </w:r>
    <w:r w:rsidRPr="00934B3E">
      <w:rPr>
        <w:rFonts w:ascii="Calibri" w:hAnsi="Calibri" w:cs="Calibri"/>
        <w:b/>
        <w:bCs/>
        <w:color w:val="7B3840"/>
        <w:sz w:val="18"/>
        <w:szCs w:val="20"/>
      </w:rPr>
      <w:t>|</w:t>
    </w:r>
    <w:r w:rsidRPr="00934B3E">
      <w:rPr>
        <w:rFonts w:ascii="Calibri" w:hAnsi="Calibri" w:cs="Calibri"/>
        <w:sz w:val="18"/>
        <w:szCs w:val="20"/>
      </w:rPr>
      <w:t xml:space="preserve"> otb.org.au</w:t>
    </w:r>
  </w:p>
  <w:p w:rsidR="00934B3E" w:rsidRPr="00934B3E" w:rsidRDefault="00934B3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3E" w:rsidRDefault="00934B3E" w:rsidP="00934B3E">
      <w:pPr>
        <w:spacing w:after="0" w:line="240" w:lineRule="auto"/>
      </w:pPr>
      <w:r>
        <w:separator/>
      </w:r>
    </w:p>
  </w:footnote>
  <w:footnote w:type="continuationSeparator" w:id="0">
    <w:p w:rsidR="00934B3E" w:rsidRDefault="00934B3E" w:rsidP="00934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3E" w:rsidRDefault="00934B3E">
    <w:pPr>
      <w:pStyle w:val="Header"/>
    </w:pPr>
    <w:r>
      <w:rPr>
        <w:noProof/>
        <w:lang w:eastAsia="en-AU"/>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-462593</wp:posOffset>
          </wp:positionV>
          <wp:extent cx="671756" cy="1164531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strip.jpg"/>
                  <pic:cNvPicPr/>
                </pic:nvPicPr>
                <pic:blipFill rotWithShape="1">
                  <a:blip r:embed="rId1">
                    <a:extLst>
                      <a:ext uri="{28A0092B-C50C-407E-A947-70E740481C1C}">
                        <a14:useLocalDpi xmlns:a14="http://schemas.microsoft.com/office/drawing/2010/main" val="0"/>
                      </a:ext>
                    </a:extLst>
                  </a:blip>
                  <a:srcRect l="-1" t="1658" r="-5" b="1515"/>
                  <a:stretch/>
                </pic:blipFill>
                <pic:spPr bwMode="auto">
                  <a:xfrm>
                    <a:off x="0" y="0"/>
                    <a:ext cx="671756" cy="116453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simplePos x="0" y="0"/>
          <wp:positionH relativeFrom="column">
            <wp:posOffset>3630468</wp:posOffset>
          </wp:positionH>
          <wp:positionV relativeFrom="paragraph">
            <wp:posOffset>-81252</wp:posOffset>
          </wp:positionV>
          <wp:extent cx="2476959" cy="7126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B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6959" cy="7126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2223"/>
    <w:multiLevelType w:val="hybridMultilevel"/>
    <w:tmpl w:val="8F2E8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3E"/>
    <w:rsid w:val="0000592C"/>
    <w:rsid w:val="0085661A"/>
    <w:rsid w:val="00934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7E6F3D-BC84-4F3B-ABD9-070CF2CF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61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5661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B3E"/>
  </w:style>
  <w:style w:type="paragraph" w:styleId="Footer">
    <w:name w:val="footer"/>
    <w:basedOn w:val="Normal"/>
    <w:link w:val="FooterChar"/>
    <w:uiPriority w:val="99"/>
    <w:unhideWhenUsed/>
    <w:rsid w:val="00934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3E"/>
  </w:style>
  <w:style w:type="paragraph" w:customStyle="1" w:styleId="BasicParagraph">
    <w:name w:val="[Basic Paragraph]"/>
    <w:basedOn w:val="Normal"/>
    <w:uiPriority w:val="99"/>
    <w:rsid w:val="00934B3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uiPriority w:val="9"/>
    <w:rsid w:val="0085661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5661A"/>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85661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OTB</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2019-04-01T01:48:00Z</dcterms:created>
  <dcterms:modified xsi:type="dcterms:W3CDTF">2019-04-01T01:48:00Z</dcterms:modified>
</cp:coreProperties>
</file>